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Jagasia Madan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OBSIDIAN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and become exercisable upon the earlier of (i) the one-year anniversary of the grant date or (ii) the date of the Issuer's annual meeting of stockholders following the grant date, subject to the Reporting Person's continued service with the Issuer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943" TargetMode="External"/><Relationship Id="rId5" Type="http://schemas.openxmlformats.org/officeDocument/2006/relationships/hyperlink" Target="http://www.sec.gov/cgi-bin/browse-edgar?action=getcompany&amp;CIK=00021306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3422</Characters>
  <CharactersWithSpaces>3975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